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Маршрутный лист разработки решения педагогического кейса</w:t>
      </w:r>
    </w:p>
    <w:p w:rsidR="00000000" w:rsidDel="00000000" w:rsidP="00000000" w:rsidRDefault="00000000" w:rsidRPr="00000000" w14:paraId="00000002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Группа № 4</w:t>
      </w:r>
    </w:p>
    <w:p w:rsidR="00000000" w:rsidDel="00000000" w:rsidP="00000000" w:rsidRDefault="00000000" w:rsidRPr="00000000" w14:paraId="00000003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color w:val="000000"/>
          <w:sz w:val="28"/>
          <w:szCs w:val="28"/>
          <w:u w:val="single"/>
          <w:rtl w:val="0"/>
        </w:rPr>
        <w:t xml:space="preserve">Состав группы:</w:t>
      </w:r>
    </w:p>
    <w:p w:rsidR="00000000" w:rsidDel="00000000" w:rsidP="00000000" w:rsidRDefault="00000000" w:rsidRPr="00000000" w14:paraId="00000004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Килиди Вероника Денисовна</w:t>
      </w:r>
    </w:p>
    <w:p w:rsidR="00000000" w:rsidDel="00000000" w:rsidP="00000000" w:rsidRDefault="00000000" w:rsidRPr="00000000" w14:paraId="00000005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Колодезнова Ольга Ивановна</w:t>
      </w:r>
    </w:p>
    <w:p w:rsidR="00000000" w:rsidDel="00000000" w:rsidP="00000000" w:rsidRDefault="00000000" w:rsidRPr="00000000" w14:paraId="00000006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3.Тимошенко Анна Вячеславова</w:t>
      </w:r>
    </w:p>
    <w:p w:rsidR="00000000" w:rsidDel="00000000" w:rsidP="00000000" w:rsidRDefault="00000000" w:rsidRPr="00000000" w14:paraId="00000007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4.Гонец Анастасия Владимировна</w:t>
      </w:r>
    </w:p>
    <w:p w:rsidR="00000000" w:rsidDel="00000000" w:rsidP="00000000" w:rsidRDefault="00000000" w:rsidRPr="00000000" w14:paraId="00000008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5.Бобрович Оксана Васильевна</w:t>
      </w:r>
    </w:p>
    <w:p w:rsidR="00000000" w:rsidDel="00000000" w:rsidP="00000000" w:rsidRDefault="00000000" w:rsidRPr="00000000" w14:paraId="00000009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6.Бондаренко Наталья Владимировна</w:t>
      </w:r>
    </w:p>
    <w:p w:rsidR="00000000" w:rsidDel="00000000" w:rsidP="00000000" w:rsidRDefault="00000000" w:rsidRPr="00000000" w14:paraId="0000000A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7.Голоперова Наталья Николаевна</w:t>
      </w:r>
    </w:p>
    <w:p w:rsidR="00000000" w:rsidDel="00000000" w:rsidP="00000000" w:rsidRDefault="00000000" w:rsidRPr="00000000" w14:paraId="0000000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8. Гришина Дарья Юрьевна</w:t>
      </w:r>
    </w:p>
    <w:p w:rsidR="00000000" w:rsidDel="00000000" w:rsidP="00000000" w:rsidRDefault="00000000" w:rsidRPr="00000000" w14:paraId="0000000C">
      <w:pPr>
        <w:spacing w:line="240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78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8"/>
        <w:gridCol w:w="2552"/>
        <w:gridCol w:w="944"/>
        <w:gridCol w:w="1749"/>
        <w:gridCol w:w="1747"/>
        <w:gridCol w:w="946"/>
        <w:gridCol w:w="1843"/>
        <w:tblGridChange w:id="0">
          <w:tblGrid>
            <w:gridCol w:w="5098"/>
            <w:gridCol w:w="2552"/>
            <w:gridCol w:w="944"/>
            <w:gridCol w:w="1749"/>
            <w:gridCol w:w="1747"/>
            <w:gridCol w:w="946"/>
            <w:gridCol w:w="1843"/>
          </w:tblGrid>
        </w:tblGridChange>
      </w:tblGrid>
      <w:tr>
        <w:trPr>
          <w:cantSplit w:val="0"/>
          <w:trHeight w:val="252" w:hRule="atLeast"/>
          <w:tblHeader w:val="0"/>
        </w:trPr>
        <w:tc>
          <w:tcPr>
            <w:gridSpan w:val="7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D">
            <w:pPr>
              <w:ind w:left="0" w:hanging="2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Легенда педагогического кейса:</w:t>
            </w:r>
          </w:p>
          <w:p w:rsidR="00000000" w:rsidDel="00000000" w:rsidP="00000000" w:rsidRDefault="00000000" w:rsidRPr="00000000" w14:paraId="0000000E">
            <w:pPr>
              <w:ind w:left="0" w:hanging="2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vMerge w:val="restart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Анализ условий реализации образовательной деятельности (по 6 позициям)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Характеристики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Возможности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Ограничения и риски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B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Решения/</w:t>
            </w:r>
          </w:p>
          <w:p w:rsidR="00000000" w:rsidDel="00000000" w:rsidP="00000000" w:rsidRDefault="00000000" w:rsidRPr="00000000" w14:paraId="0000001C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рекомендации</w:t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spacing w:after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Крупный город N</w:t>
            </w:r>
          </w:p>
        </w:tc>
        <w:tc>
          <w:tcPr>
            <w:gridSpan w:val="2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разнообразная финансовая инфраструктура (банки, брокеры, инвестиционные компании);</w:t>
              <w:br w:type="textWrapping"/>
              <w:t xml:space="preserve">- стабильный Интернет;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 материально-техническая оснащенность школы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угрозы мошенничества выше;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риск разглашения информации о персональных данных родителей через детей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приглашение профессиональных экспертов по узким  финансовым вопросам;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экскурсии в финансовые организации;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использование технических возможностей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" w:hRule="atLeast"/>
          <w:tblHeader w:val="0"/>
        </w:trPr>
        <w:tc>
          <w:tcPr>
            <w:vMerge w:val="restart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Планируемые образовательные результаты</w:t>
            </w:r>
          </w:p>
          <w:p w:rsidR="00000000" w:rsidDel="00000000" w:rsidP="00000000" w:rsidRDefault="00000000" w:rsidRPr="00000000" w14:paraId="0000002C">
            <w:pPr>
              <w:ind w:left="0" w:hanging="2"/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Установки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(что есть «грамотно» и как надо поступать)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vMerge w:val="continue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Знание бюджетной системы и бюджетного процесса государства и местного самоуправления, способность анализировать информацию о бюджете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Осмысление роли гражданина, общественных организаций и других участников в бюджетном процессе и формирование ответственной гражданской позиции через понимание задач и функций федерального бюджета, бюджетов субъектов РФ и местных бюджетов;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Готовность гражданина к ответственному участию в бюджетном процессе, в том числе оказанию обоснованного влияния на принятие решений о распределении бюджетных расходов.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vMerge w:val="continue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2" w:hRule="atLeast"/>
          <w:tblHeader w:val="0"/>
        </w:trPr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Образовательные ресурсы (название УМК,            № темы, параграф, название цифрового образовательного ресурса 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 w:rsidR="00000000" w:rsidDel="00000000" w:rsidP="00000000" w:rsidRDefault="00000000" w:rsidRPr="00000000" w14:paraId="00000044">
            <w:pPr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5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«Учебник «Финансовая грамотность 10-11 класс», авторы: Ю.Брехова, А.Амасова, п.28</w:t>
            </w:r>
          </w:p>
          <w:p w:rsidR="00000000" w:rsidDel="00000000" w:rsidP="00000000" w:rsidRDefault="00000000" w:rsidRPr="00000000" w14:paraId="00000046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left="0" w:hanging="2"/>
              <w:rPr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https://infourok.ru/uchebnyj-kurs-byudzhetnaya-gramotnost-5156528.html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8">
            <w:pPr>
              <w:ind w:left="0" w:hanging="2"/>
              <w:rPr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https://shkola8nefteyugansk-r86.gosweb.gosuslugi.ru/netcat_files/67/2857/Osnovy_finansovoy_gramotnosti_programma_fgos.pdf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ind w:left="0" w:hanging="2"/>
              <w:rPr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https://www.youtube.com/watch?v=_67Qa9pmm8o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  <w:br w:type="textWrapping"/>
              <w:br w:type="textWrapping"/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Методический инструментарий 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(образовательные технологии; методы обучения; педагогические приемы)</w:t>
            </w:r>
          </w:p>
        </w:tc>
        <w:tc>
          <w:tcPr>
            <w:gridSpan w:val="6"/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1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Образовательные технологии: информационные технологии, технология проектного обучения</w:t>
            </w:r>
          </w:p>
          <w:p w:rsidR="00000000" w:rsidDel="00000000" w:rsidP="00000000" w:rsidRDefault="00000000" w:rsidRPr="00000000" w14:paraId="00000052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Методы: практический, работа с книгой, видео-метод.</w:t>
            </w:r>
          </w:p>
          <w:p w:rsidR="00000000" w:rsidDel="00000000" w:rsidP="00000000" w:rsidRDefault="00000000" w:rsidRPr="00000000" w14:paraId="00000053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Педагогические приемы: мотивации и целеполагания, операционной деятельности, организации рефлексии.</w:t>
            </w:r>
          </w:p>
        </w:tc>
      </w:tr>
      <w:tr>
        <w:trPr>
          <w:cantSplit w:val="0"/>
          <w:trHeight w:val="1326" w:hRule="atLeast"/>
          <w:tblHeader w:val="0"/>
        </w:trPr>
        <w:tc>
          <w:tcPr>
            <w:vMerge w:val="restart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Интеграция с другими видами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функциональной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грамотности (интегративные задания) </w:t>
            </w:r>
          </w:p>
        </w:tc>
        <w:tc>
          <w:tcPr>
            <w:gridSpan w:val="6"/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Финансовая и математическая грамотность</w:t>
            </w:r>
          </w:p>
          <w:p w:rsidR="00000000" w:rsidDel="00000000" w:rsidP="00000000" w:rsidRDefault="00000000" w:rsidRPr="00000000" w14:paraId="0000005B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Финансовая и читательская грамотность</w:t>
            </w:r>
          </w:p>
          <w:p w:rsidR="00000000" w:rsidDel="00000000" w:rsidP="00000000" w:rsidRDefault="00000000" w:rsidRPr="00000000" w14:paraId="0000005C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Финансовая и естественно-научная грамотность</w:t>
            </w:r>
          </w:p>
          <w:p w:rsidR="00000000" w:rsidDel="00000000" w:rsidP="00000000" w:rsidRDefault="00000000" w:rsidRPr="00000000" w14:paraId="0000005D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Финансовая грамотность и глобальные компетенции</w:t>
            </w:r>
          </w:p>
          <w:p w:rsidR="00000000" w:rsidDel="00000000" w:rsidP="00000000" w:rsidRDefault="00000000" w:rsidRPr="00000000" w14:paraId="0000005E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Финансовая грамотность и креативное мышление  </w:t>
            </w:r>
          </w:p>
          <w:p w:rsidR="00000000" w:rsidDel="00000000" w:rsidP="00000000" w:rsidRDefault="00000000" w:rsidRPr="00000000" w14:paraId="0000005F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Финансовая и цифровая грамотность</w:t>
            </w:r>
          </w:p>
        </w:tc>
      </w:tr>
      <w:tr>
        <w:trPr>
          <w:cantSplit w:val="0"/>
          <w:trHeight w:val="468" w:hRule="atLeast"/>
          <w:tblHeader w:val="0"/>
        </w:trPr>
        <w:tc>
          <w:tcPr>
            <w:vMerge w:val="continue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Интегративное задание: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vMerge w:val="continue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проверяет: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50"/>
                <w:szCs w:val="50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государственного (местного) бюджета и роли граждан в его формировании, расходовании и в бюджетном процессе.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Знание о бюджете как источник финансирования решения социальных задач играет важную роль в нашей повседневной жизни;</w:t>
            </w:r>
          </w:p>
          <w:p w:rsidR="00000000" w:rsidDel="00000000" w:rsidP="00000000" w:rsidRDefault="00000000" w:rsidRPr="00000000" w14:paraId="00000070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Умения: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формирование у обучающихся готовности к активному участию в осуществлении местного самоуправления, в частности, в бюджетном процессе;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формирование у обучающихся знаний о государственном (местном) бюджете и бюджетном процессе, а также умений их использовать на практике (читать, расшифровывать и понимать информацию о планировании и исполнении бюджетов бюджетной системы Российской Федерации);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умение отстаивать свои права.</w:t>
            </w:r>
          </w:p>
          <w:p w:rsidR="00000000" w:rsidDel="00000000" w:rsidP="00000000" w:rsidRDefault="00000000" w:rsidRPr="00000000" w14:paraId="00000074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Установки: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3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различать 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рассчитывать находить 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оценивать </w:t>
            </w:r>
          </w:p>
          <w:p w:rsidR="00000000" w:rsidDel="00000000" w:rsidP="00000000" w:rsidRDefault="00000000" w:rsidRPr="00000000" w14:paraId="00000078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Ответ:</w:t>
            </w:r>
          </w:p>
          <w:p w:rsidR="00000000" w:rsidDel="00000000" w:rsidP="00000000" w:rsidRDefault="00000000" w:rsidRPr="00000000" w14:paraId="00000081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vMerge w:val="continue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8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Пояснение:</w:t>
            </w:r>
          </w:p>
        </w:tc>
      </w:tr>
    </w:tbl>
    <w:p w:rsidR="00000000" w:rsidDel="00000000" w:rsidP="00000000" w:rsidRDefault="00000000" w:rsidRPr="00000000" w14:paraId="0000008E">
      <w:pPr>
        <w:spacing w:line="240" w:lineRule="auto"/>
        <w:ind w:left="1" w:hanging="3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ind w:left="1" w:hanging="3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План проведения образовательных активностей</w:t>
      </w:r>
    </w:p>
    <w:tbl>
      <w:tblPr>
        <w:tblStyle w:val="Table2"/>
        <w:tblW w:w="14806.0" w:type="dxa"/>
        <w:jc w:val="left"/>
        <w:tblInd w:w="-108.0" w:type="dxa"/>
        <w:tblLayout w:type="fixed"/>
        <w:tblLook w:val="0400"/>
      </w:tblPr>
      <w:tblGrid>
        <w:gridCol w:w="730"/>
        <w:gridCol w:w="2991"/>
        <w:gridCol w:w="3156"/>
        <w:gridCol w:w="7929"/>
        <w:tblGridChange w:id="0">
          <w:tblGrid>
            <w:gridCol w:w="730"/>
            <w:gridCol w:w="2991"/>
            <w:gridCol w:w="3156"/>
            <w:gridCol w:w="7929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0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Форма проведения активности: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Урочная деятельность. Урок по теме: «Финансовая среда: бюджетная грамотность»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Этап 0. Подготовительный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учеников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Образовательный эффект (чему научились, что узнали, поняли)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Необходимо подготовить раздаточные материалы, ведущих, аудиторию для проведения станционной игры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к уроку.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Этап 1. Мотивационно-целевой (10 минут)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4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5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учеников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7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Образовательный эффект (чему научились, что узнали, поняли)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Формулирует тему занятия</w:t>
            </w:r>
          </w:p>
          <w:p w:rsidR="00000000" w:rsidDel="00000000" w:rsidP="00000000" w:rsidRDefault="00000000" w:rsidRPr="00000000" w14:paraId="000000A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Слушают учителя</w:t>
            </w:r>
          </w:p>
          <w:p w:rsidR="00000000" w:rsidDel="00000000" w:rsidP="00000000" w:rsidRDefault="00000000" w:rsidRPr="00000000" w14:paraId="000000A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Формирование положительного отношения, живого интереса к занятию. </w:t>
            </w:r>
          </w:p>
          <w:p w:rsidR="00000000" w:rsidDel="00000000" w:rsidP="00000000" w:rsidRDefault="00000000" w:rsidRPr="00000000" w14:paraId="000000A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Просмотр видеофильма «Вы – активный гражданин». </w:t>
            </w:r>
          </w:p>
          <w:p w:rsidR="00000000" w:rsidDel="00000000" w:rsidP="00000000" w:rsidRDefault="00000000" w:rsidRPr="00000000" w14:paraId="000000B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Смотрят видеофильм</w:t>
            </w:r>
          </w:p>
          <w:p w:rsidR="00000000" w:rsidDel="00000000" w:rsidP="00000000" w:rsidRDefault="00000000" w:rsidRPr="00000000" w14:paraId="000000B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Этап 2. Организационно-действенный (23 минуты)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учеников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Образовательный эффект (чему научились, что узнали, поняли)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ind w:left="0" w:hanging="2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Формулирует проблемную ситуацию и обсуждает с учащимися «БЮДЖЕТ ГОСУДАРСТВА, БЮДЖЕТ СЕМЬИ» «ЧТО И ЗАЧЕМ МЫ ПЛАТИМ В БЮДЖЕТ?». </w:t>
            </w:r>
          </w:p>
          <w:p w:rsidR="00000000" w:rsidDel="00000000" w:rsidP="00000000" w:rsidRDefault="00000000" w:rsidRPr="00000000" w14:paraId="000000C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Участвуют в дискуссии</w:t>
            </w:r>
          </w:p>
          <w:p w:rsidR="00000000" w:rsidDel="00000000" w:rsidP="00000000" w:rsidRDefault="00000000" w:rsidRPr="00000000" w14:paraId="000000C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Учащиеся включаются в диалог с учителем. </w:t>
            </w:r>
          </w:p>
          <w:p w:rsidR="00000000" w:rsidDel="00000000" w:rsidP="00000000" w:rsidRDefault="00000000" w:rsidRPr="00000000" w14:paraId="000000C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Учащиеся узнали, что такое бюджет и для чего он нужен. Откуда в бюджете деньги и почему их часто не хватает. Граждане и бюджет. В чём состоит наш вклад в бюджет.</w:t>
            </w:r>
          </w:p>
          <w:p w:rsidR="00000000" w:rsidDel="00000000" w:rsidP="00000000" w:rsidRDefault="00000000" w:rsidRPr="00000000" w14:paraId="000000C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Учащиеся учатся анализировать информацию, представленную в разных формах.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Делит класс на группы. Объясняет правила игры. Назначает модераторов. </w:t>
            </w:r>
          </w:p>
          <w:p w:rsidR="00000000" w:rsidDel="00000000" w:rsidP="00000000" w:rsidRDefault="00000000" w:rsidRPr="00000000" w14:paraId="000000C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Раздает каждой группе маршрутные листы.</w:t>
            </w:r>
          </w:p>
          <w:p w:rsidR="00000000" w:rsidDel="00000000" w:rsidP="00000000" w:rsidRDefault="00000000" w:rsidRPr="00000000" w14:paraId="000000C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Формулирует учебную задачу: «Какой бюджет за что платит».</w:t>
            </w:r>
          </w:p>
          <w:p w:rsidR="00000000" w:rsidDel="00000000" w:rsidP="00000000" w:rsidRDefault="00000000" w:rsidRPr="00000000" w14:paraId="000000CD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Делятся  на группы. Слушают правила игры. Назначают модераторов. </w:t>
            </w:r>
          </w:p>
          <w:p w:rsidR="00000000" w:rsidDel="00000000" w:rsidP="00000000" w:rsidRDefault="00000000" w:rsidRPr="00000000" w14:paraId="000000C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Раздает каждой группе маршрутные листы.</w:t>
            </w:r>
          </w:p>
          <w:p w:rsidR="00000000" w:rsidDel="00000000" w:rsidP="00000000" w:rsidRDefault="00000000" w:rsidRPr="00000000" w14:paraId="000000D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Формулирует учебную задачу: «Какой бюджет за что платит и почему»</w:t>
            </w:r>
          </w:p>
          <w:p w:rsidR="00000000" w:rsidDel="00000000" w:rsidP="00000000" w:rsidRDefault="00000000" w:rsidRPr="00000000" w14:paraId="000000D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Учащиеся научились понимать  как облегчить бремя обязательств перед бюджетом, </w:t>
            </w:r>
            <w:r w:rsidDel="00000000" w:rsidR="00000000" w:rsidRPr="00000000">
              <w:rPr>
                <w:color w:val="181818"/>
                <w:sz w:val="24"/>
                <w:szCs w:val="24"/>
                <w:highlight w:val="white"/>
                <w:rtl w:val="0"/>
              </w:rPr>
              <w:t xml:space="preserve">повысили бюджетную грамотность в процессе знакомства с приоритетными направлениями бюджетной политики Российской Федерации в области бюджета и финансов.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Отслеживает ход игры, поддерживает дисциплину, подсчитывает результаты в конце игры</w:t>
            </w:r>
          </w:p>
          <w:p w:rsidR="00000000" w:rsidDel="00000000" w:rsidP="00000000" w:rsidRDefault="00000000" w:rsidRPr="00000000" w14:paraId="000000D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Играют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hd w:fill="ffffff" w:val="clear"/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Узнают, как отстоять свои права в бюджетной сфере,</w:t>
            </w: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 об экономических функциях домохозяйства, о рациональном поведении покупателя, бюджетном ограничении, бюджете семьи.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Понимают, что каждый человек может отстоять свои права в бюджетной сфере.</w:t>
            </w:r>
          </w:p>
          <w:p w:rsidR="00000000" w:rsidDel="00000000" w:rsidP="00000000" w:rsidRDefault="00000000" w:rsidRPr="00000000" w14:paraId="000000D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B">
            <w:pPr>
              <w:spacing w:line="240" w:lineRule="auto"/>
              <w:ind w:left="-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Участники работают в микро-группах, что способствует развитию коммуникационных навыков и умению работать в команде.</w:t>
            </w:r>
          </w:p>
          <w:p w:rsidR="00000000" w:rsidDel="00000000" w:rsidP="00000000" w:rsidRDefault="00000000" w:rsidRPr="00000000" w14:paraId="000000D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Этап 3. Рефлексивно-оценочный (7 минут)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1">
            <w:pPr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2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Деятельность учеников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Образовательный эффект (чему научились, что узнали, поняли)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предлагает учащимся оценить полученный опыт путем применения приемы «гирлянда»</w:t>
            </w:r>
          </w:p>
          <w:p w:rsidR="00000000" w:rsidDel="00000000" w:rsidP="00000000" w:rsidRDefault="00000000" w:rsidRPr="00000000" w14:paraId="000000E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Учащиеся по очереди путем составления ассоциативного</w:t>
            </w:r>
          </w:p>
          <w:p w:rsidR="00000000" w:rsidDel="00000000" w:rsidP="00000000" w:rsidRDefault="00000000" w:rsidRPr="00000000" w14:paraId="000000E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ряда дают определение основным понятиям, изученным на уроке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shd w:fill="ffffff" w:val="clear"/>
              <w:spacing w:line="240" w:lineRule="auto"/>
              <w:ind w:left="0" w:hanging="2"/>
              <w:jc w:val="both"/>
              <w:rPr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Учащиеся могут дать определение таким понятиям как</w:t>
            </w:r>
          </w:p>
          <w:p w:rsidR="00000000" w:rsidDel="00000000" w:rsidP="00000000" w:rsidRDefault="00000000" w:rsidRPr="00000000" w14:paraId="000000EB">
            <w:pPr>
              <w:shd w:fill="ffffff" w:val="clear"/>
              <w:spacing w:line="240" w:lineRule="auto"/>
              <w:ind w:left="0" w:hanging="2"/>
              <w:jc w:val="both"/>
              <w:rPr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-бюджет </w:t>
            </w:r>
          </w:p>
          <w:p w:rsidR="00000000" w:rsidDel="00000000" w:rsidP="00000000" w:rsidRDefault="00000000" w:rsidRPr="00000000" w14:paraId="000000EC">
            <w:pPr>
              <w:shd w:fill="ffffff" w:val="clear"/>
              <w:spacing w:line="240" w:lineRule="auto"/>
              <w:ind w:left="0" w:hanging="2"/>
              <w:jc w:val="both"/>
              <w:rPr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-экономические функциях домохозяйства, </w:t>
            </w:r>
          </w:p>
          <w:p w:rsidR="00000000" w:rsidDel="00000000" w:rsidP="00000000" w:rsidRDefault="00000000" w:rsidRPr="00000000" w14:paraId="000000ED">
            <w:pPr>
              <w:shd w:fill="ffffff" w:val="clear"/>
              <w:spacing w:line="240" w:lineRule="auto"/>
              <w:ind w:left="0" w:hanging="2"/>
              <w:jc w:val="both"/>
              <w:rPr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-бюджетное ограничение,</w:t>
            </w:r>
          </w:p>
          <w:p w:rsidR="00000000" w:rsidDel="00000000" w:rsidP="00000000" w:rsidRDefault="00000000" w:rsidRPr="00000000" w14:paraId="000000EE">
            <w:pPr>
              <w:shd w:fill="ffffff" w:val="clear"/>
              <w:spacing w:line="240" w:lineRule="auto"/>
              <w:ind w:left="0" w:hanging="2"/>
              <w:jc w:val="both"/>
              <w:rPr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 -бюджет семьи,</w:t>
            </w:r>
          </w:p>
          <w:p w:rsidR="00000000" w:rsidDel="00000000" w:rsidP="00000000" w:rsidRDefault="00000000" w:rsidRPr="00000000" w14:paraId="000000EF">
            <w:pPr>
              <w:shd w:fill="ffffff" w:val="clear"/>
              <w:spacing w:line="240" w:lineRule="auto"/>
              <w:ind w:left="0" w:hanging="2"/>
              <w:jc w:val="both"/>
              <w:rPr>
                <w:color w:val="181818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- источники доходов и расходов </w:t>
            </w:r>
          </w:p>
          <w:p w:rsidR="00000000" w:rsidDel="00000000" w:rsidP="00000000" w:rsidRDefault="00000000" w:rsidRPr="00000000" w14:paraId="000000F0">
            <w:pPr>
              <w:shd w:fill="ffffff" w:val="clear"/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181818"/>
                <w:sz w:val="21"/>
                <w:szCs w:val="21"/>
                <w:vertAlign w:val="baselin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Научились планировать семейный бюджет;</w:t>
            </w:r>
            <w:r w:rsidDel="00000000" w:rsidR="00000000" w:rsidRPr="00000000">
              <w:rPr>
                <w:rFonts w:ascii="Arial" w:cs="Arial" w:eastAsia="Arial" w:hAnsi="Arial"/>
                <w:color w:val="181818"/>
                <w:sz w:val="21"/>
                <w:szCs w:val="2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color w:val="181818"/>
                <w:sz w:val="24"/>
                <w:szCs w:val="24"/>
                <w:vertAlign w:val="baseline"/>
                <w:rtl w:val="0"/>
              </w:rPr>
              <w:t xml:space="preserve">анализировать свое потребительское поведение; оценивать собственные экономические действия в качестве потребителя, члена семьи и гражданина; объяснять причины неравенства доходов; объяснять аксиомы рационального поведения.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2">
      <w:pPr>
        <w:ind w:left="0" w:hanging="2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28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⮚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⮚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⮚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⮚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⮚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⮚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⮚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⮚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⮚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⮚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⮚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⮚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⮚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⮚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⮚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⮚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⮚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⮚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⮚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⮚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⮚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⮚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⮚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⮚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u-RU"/>
      </w:rPr>
    </w:rPrDefault>
    <w:pPrDefault>
      <w:pPr>
        <w:spacing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nfourok.ru/uchebnyj-kurs-byudzhetnaya-gramotnost-5156528.html" TargetMode="External"/><Relationship Id="rId7" Type="http://schemas.openxmlformats.org/officeDocument/2006/relationships/hyperlink" Target="https://shkola8nefteyugansk-r86.gosweb.gosuslugi.ru/netcat_files/67/2857/Osnovy_finansovoy_gramotnosti_programma_fgos.pdf" TargetMode="External"/><Relationship Id="rId8" Type="http://schemas.openxmlformats.org/officeDocument/2006/relationships/hyperlink" Target="https://www.youtube.com/watch?v=_67Qa9pmm8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